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A7" w:rsidRDefault="00D13FA7" w:rsidP="00D13FA7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D13FA7" w:rsidRDefault="00D13FA7" w:rsidP="00D13FA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дополнительной предпрофессиональной общеобразовательной программе</w:t>
      </w:r>
    </w:p>
    <w:p w:rsidR="00D13FA7" w:rsidRDefault="00D13FA7" w:rsidP="00D13FA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области музыкального искусства</w:t>
      </w:r>
    </w:p>
    <w:p w:rsidR="00D13FA7" w:rsidRDefault="00D13FA7" w:rsidP="00D13FA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«Фортепиано»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p w:rsidR="00D13FA7" w:rsidRDefault="00D13FA7" w:rsidP="00D13FA7">
      <w:pPr>
        <w:spacing w:after="0" w:line="21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обучения – 8 лет</w:t>
      </w:r>
    </w:p>
    <w:tbl>
      <w:tblPr>
        <w:tblW w:w="1633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800"/>
        <w:gridCol w:w="205"/>
        <w:gridCol w:w="3035"/>
        <w:gridCol w:w="1346"/>
        <w:gridCol w:w="1134"/>
        <w:gridCol w:w="709"/>
        <w:gridCol w:w="567"/>
        <w:gridCol w:w="709"/>
        <w:gridCol w:w="850"/>
        <w:gridCol w:w="284"/>
        <w:gridCol w:w="341"/>
        <w:gridCol w:w="226"/>
        <w:gridCol w:w="142"/>
        <w:gridCol w:w="120"/>
        <w:gridCol w:w="52"/>
        <w:gridCol w:w="111"/>
        <w:gridCol w:w="284"/>
        <w:gridCol w:w="100"/>
        <w:gridCol w:w="45"/>
        <w:gridCol w:w="176"/>
        <w:gridCol w:w="246"/>
        <w:gridCol w:w="80"/>
        <w:gridCol w:w="38"/>
        <w:gridCol w:w="165"/>
        <w:gridCol w:w="284"/>
        <w:gridCol w:w="60"/>
        <w:gridCol w:w="31"/>
        <w:gridCol w:w="50"/>
        <w:gridCol w:w="426"/>
        <w:gridCol w:w="244"/>
        <w:gridCol w:w="323"/>
        <w:gridCol w:w="397"/>
        <w:gridCol w:w="36"/>
        <w:gridCol w:w="350"/>
        <w:gridCol w:w="286"/>
        <w:gridCol w:w="48"/>
        <w:gridCol w:w="1032"/>
      </w:tblGrid>
      <w:tr w:rsidR="00D13FA7" w:rsidTr="004D4D8B">
        <w:trPr>
          <w:cantSplit/>
          <w:trHeight w:val="190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 и учебных предметов</w:t>
            </w: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 и учебных предметов</w:t>
            </w: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Самосто-ятельная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 полугодиям)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53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D13FA7" w:rsidTr="004D4D8B">
        <w:trPr>
          <w:cantSplit/>
          <w:trHeight w:val="1760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уроки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Экзамены 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2-й 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3-й класс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4-й класс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5-й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6-й класс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7-й класс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8-й класс</w:t>
            </w: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D13FA7" w:rsidTr="004D4D8B">
        <w:trPr>
          <w:trHeight w:val="2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D13FA7" w:rsidTr="004D4D8B">
        <w:trPr>
          <w:cantSplit/>
          <w:trHeight w:val="23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3999,5</w:t>
            </w:r>
          </w:p>
          <w:p w:rsidR="00D13FA7" w:rsidRDefault="00D13FA7" w:rsidP="004D4D8B">
            <w:pPr>
              <w:spacing w:after="0" w:line="240" w:lineRule="auto"/>
              <w:ind w:left="-67" w:right="-199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-4239,5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2065-2156,5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1934,5-2083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13FA7" w:rsidTr="004D4D8B">
        <w:trPr>
          <w:cantSplit/>
          <w:trHeight w:val="231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  <w:tr w:rsidR="00D13FA7" w:rsidTr="004D4D8B">
        <w:trPr>
          <w:trHeight w:val="2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13FA7" w:rsidTr="004D4D8B">
        <w:trPr>
          <w:trHeight w:val="76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2706,5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1588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D13FA7" w:rsidTr="004D4D8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Pr="002A1886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1886">
              <w:rPr>
                <w:rFonts w:ascii="Times New Roman" w:hAnsi="Times New Roman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1185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1,3,5..-15,16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2,4,6…-14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13FA7" w:rsidTr="004D4D8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198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51" w:right="-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Pr="0090420B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Pr="00050A19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0A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1/0</w:t>
            </w:r>
          </w:p>
        </w:tc>
      </w:tr>
      <w:tr w:rsidR="00D13FA7" w:rsidTr="004D4D8B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ПО.01.УП.04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Хоровой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3FA7" w:rsidTr="004D4D8B">
        <w:trPr>
          <w:trHeight w:val="3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ПО.02.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FA7" w:rsidTr="004D4D8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1-11,13-16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3FA7" w:rsidTr="004D4D8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музыки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7-13,15,16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3FA7" w:rsidTr="004D4D8B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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8/7</w:t>
            </w:r>
          </w:p>
        </w:tc>
      </w:tr>
      <w:tr w:rsidR="00D13FA7" w:rsidTr="004D4D8B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2065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18/15</w:t>
            </w:r>
          </w:p>
        </w:tc>
      </w:tr>
      <w:tr w:rsidR="00D13FA7" w:rsidTr="004D4D8B">
        <w:trPr>
          <w:trHeight w:val="30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Pr="004D1AA8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Импровизация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5-12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В.02.УП.03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Концертмейстерский класс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0/1</w:t>
            </w: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Pr="0090420B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6)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Pr="002072E2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13FA7" w:rsidTr="004D4D8B">
        <w:trPr>
          <w:trHeight w:val="31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6)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4081,5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2156,5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1925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Pr="00B96B14" w:rsidRDefault="00D13FA7" w:rsidP="004D4D8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B96B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Pr="00B96B14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18/16</w:t>
            </w:r>
          </w:p>
        </w:tc>
      </w:tr>
      <w:tr w:rsidR="00D13FA7" w:rsidTr="004D4D8B">
        <w:trPr>
          <w:trHeight w:val="31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Pr="00326EAF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Pr="00326EAF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D13FA7" w:rsidTr="004D4D8B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FA7" w:rsidTr="004D4D8B">
        <w:trPr>
          <w:trHeight w:val="16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3FA7" w:rsidTr="004D4D8B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13FA7" w:rsidTr="004D4D8B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Ансамбль/Концертмейстерский класс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К.03.05.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Сводный хор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Pr="008D15A5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15A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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13FA7" w:rsidTr="004D4D8B">
        <w:trPr>
          <w:trHeight w:val="294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1129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D13FA7" w:rsidTr="004D4D8B">
        <w:trPr>
          <w:trHeight w:val="34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ПА.04.01.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(экзаменационная)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ИА.04.02.01.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ИА.04.02.02.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ИА.04.02.03.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13FA7" w:rsidRDefault="00D13FA7" w:rsidP="00D13FA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vertAlign w:val="superscript"/>
          <w:lang w:eastAsia="ru-RU"/>
        </w:rPr>
      </w:pPr>
    </w:p>
    <w:p w:rsidR="00D13FA7" w:rsidRPr="00391809" w:rsidRDefault="00D13FA7" w:rsidP="00D13F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proofErr w:type="gramStart"/>
      <w:r>
        <w:rPr>
          <w:rFonts w:ascii="Times New Roman" w:hAnsi="Times New Roman"/>
          <w:bCs/>
          <w:lang w:eastAsia="ru-RU"/>
        </w:rPr>
        <w:t>Объем времени вариативной части, предусматриваемый ДШИ на занятия 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>
        <w:rPr>
          <w:rFonts w:ascii="Times New Roman" w:hAnsi="Times New Roman"/>
          <w:bCs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D13FA7" w:rsidRPr="00331F0E" w:rsidRDefault="00D13FA7" w:rsidP="00D13F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 w:rsidRPr="00331F0E">
        <w:rPr>
          <w:rFonts w:ascii="Times New Roman" w:hAnsi="Times New Roman"/>
          <w:bCs/>
          <w:lang w:eastAsia="ru-RU"/>
        </w:rPr>
        <w:t xml:space="preserve">В колонках 8 и 9 цифрой указаны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</w:t>
      </w:r>
    </w:p>
    <w:p w:rsidR="00D13FA7" w:rsidRPr="00331F0E" w:rsidRDefault="00D13FA7" w:rsidP="00D13F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 w:rsidRPr="00331F0E">
        <w:rPr>
          <w:rFonts w:ascii="Times New Roman" w:hAnsi="Times New Roman"/>
          <w:lang w:eastAsia="ru-RU"/>
        </w:rPr>
        <w:t xml:space="preserve">По предмету «Специальность и чтение с листа» в рамках промежуточной аттестации обязательно должны проводиться </w:t>
      </w:r>
      <w:r>
        <w:rPr>
          <w:rFonts w:ascii="Times New Roman" w:hAnsi="Times New Roman"/>
          <w:lang w:eastAsia="ru-RU"/>
        </w:rPr>
        <w:t xml:space="preserve">академические </w:t>
      </w:r>
      <w:r w:rsidRPr="00331F0E">
        <w:rPr>
          <w:rFonts w:ascii="Times New Roman" w:hAnsi="Times New Roman"/>
          <w:lang w:eastAsia="ru-RU"/>
        </w:rPr>
        <w:t xml:space="preserve">зачеты, зачеты по чтению с листа, зачеты или контрольные уроки по самостоятельному изучению </w:t>
      </w:r>
      <w:proofErr w:type="gramStart"/>
      <w:r w:rsidRPr="00331F0E">
        <w:rPr>
          <w:rFonts w:ascii="Times New Roman" w:hAnsi="Times New Roman"/>
          <w:lang w:eastAsia="ru-RU"/>
        </w:rPr>
        <w:t>обучающимся</w:t>
      </w:r>
      <w:proofErr w:type="gramEnd"/>
      <w:r w:rsidRPr="00331F0E">
        <w:rPr>
          <w:rFonts w:ascii="Times New Roman" w:hAnsi="Times New Roman"/>
          <w:lang w:eastAsia="ru-RU"/>
        </w:rPr>
        <w:t xml:space="preserve"> музыкального произведения.</w:t>
      </w:r>
    </w:p>
    <w:p w:rsidR="00D13FA7" w:rsidRDefault="00D13FA7" w:rsidP="00D13F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учебному предмету «Ритмика» –  до 100%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музыкального искусства.</w:t>
      </w:r>
      <w:proofErr w:type="gramEnd"/>
    </w:p>
    <w:p w:rsidR="00D13FA7" w:rsidRDefault="00D13FA7" w:rsidP="00D13F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Зачеты и экзамены по предмету «Специальность и чтение с листа» обязательной и вариативной части проводятся единовременно.</w:t>
      </w:r>
    </w:p>
    <w:p w:rsidR="00D13FA7" w:rsidRPr="00331F0E" w:rsidRDefault="00D13FA7" w:rsidP="00D13F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 w:rsidRPr="00331F0E">
        <w:rPr>
          <w:rFonts w:ascii="Times New Roman" w:hAnsi="Times New Roman"/>
          <w:lang w:eastAsia="ru-RU"/>
        </w:rPr>
        <w:t xml:space="preserve"> Объем максимальной нагрузки обучающихся не должен превышать 26 часов в неделю, аудиторная нагрузка – 14 часов в неделю. </w:t>
      </w:r>
    </w:p>
    <w:p w:rsidR="00D13FA7" w:rsidRPr="006028C6" w:rsidRDefault="00D13FA7" w:rsidP="00D13FA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 по усмотрению ДМШ. Консультации могут проводиться рассредоточено или в счет резерва учебного времени. В случае</w:t>
      </w:r>
      <w:proofErr w:type="gramStart"/>
      <w:r>
        <w:rPr>
          <w:rFonts w:ascii="Times New Roman" w:hAnsi="Times New Roman"/>
          <w:lang w:eastAsia="ru-RU"/>
        </w:rPr>
        <w:t>,</w:t>
      </w:r>
      <w:proofErr w:type="gramEnd"/>
      <w:r>
        <w:rPr>
          <w:rFonts w:ascii="Times New Roman" w:hAnsi="Times New Roman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D13FA7" w:rsidRDefault="00D13FA7" w:rsidP="00D13FA7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D13FA7" w:rsidRDefault="00D13FA7" w:rsidP="00D13F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1.</w:t>
      </w:r>
      <w:r>
        <w:rPr>
          <w:rFonts w:ascii="Times New Roman" w:hAnsi="Times New Roman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D13FA7" w:rsidRDefault="00D13FA7" w:rsidP="00D13F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</w:t>
      </w:r>
      <w:r>
        <w:rPr>
          <w:rFonts w:ascii="Times New Roman" w:hAnsi="Times New Roman"/>
          <w:lang w:eastAsia="ru-RU"/>
        </w:rPr>
        <w:tab/>
      </w:r>
      <w:proofErr w:type="gramStart"/>
      <w:r>
        <w:rPr>
          <w:rFonts w:ascii="Times New Roman" w:hAnsi="Times New Roman"/>
          <w:lang w:eastAsia="ru-RU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D13FA7" w:rsidRDefault="00D13FA7" w:rsidP="00D13F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</w:t>
      </w:r>
      <w:r>
        <w:rPr>
          <w:rFonts w:ascii="Times New Roman" w:hAnsi="Times New Roman"/>
          <w:lang w:eastAsia="ru-RU"/>
        </w:rPr>
        <w:tab/>
      </w:r>
      <w:proofErr w:type="gramStart"/>
      <w:r>
        <w:rPr>
          <w:rFonts w:ascii="Times New Roman" w:hAnsi="Times New Roman"/>
          <w:lang w:eastAsia="ru-RU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D13FA7" w:rsidRDefault="00D13FA7" w:rsidP="00D13F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4.</w:t>
      </w:r>
      <w:r>
        <w:rPr>
          <w:rFonts w:ascii="Times New Roman" w:hAnsi="Times New Roman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ДМШ или, в случае их недостаточности, работники ДМШ. В случае привлечения в качестве иллюстратора работника ДМШ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D13FA7" w:rsidRDefault="00D13FA7" w:rsidP="00D13F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>
        <w:rPr>
          <w:rFonts w:ascii="Times New Roman" w:hAnsi="Times New Roman"/>
          <w:lang w:eastAsia="ru-RU"/>
        </w:rPr>
        <w:tab/>
        <w:t xml:space="preserve"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планируется следующим образом:</w:t>
      </w:r>
    </w:p>
    <w:p w:rsidR="00D13FA7" w:rsidRDefault="00D13FA7" w:rsidP="00D13F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«Специальность и чтение с листа» – 1-2 классы – по 3 часа в неделю; 3-4 классы – по 4 часа; 5-6  классы  – по 5 часов; 7-8 классы – по 6 часов; «Ансамбль» – 1,5 часа в неделю; «Концертмейстерский класс» – 1,5 часа в неделю; «Импровизация» - 0,5 часа в неделю; «Хоровой класс» – 0,5 часа в неделю; «Сольфеджио» – 1 час в неделю;</w:t>
      </w:r>
      <w:proofErr w:type="gramEnd"/>
      <w:r>
        <w:rPr>
          <w:rFonts w:ascii="Times New Roman" w:hAnsi="Times New Roman"/>
          <w:lang w:eastAsia="ru-RU"/>
        </w:rPr>
        <w:t xml:space="preserve"> «Слушание музыки» – 0,5 часа в неделю; «Музыкальная литература (зарубежная, отечественная)» – 1 час в неделю.</w:t>
      </w:r>
    </w:p>
    <w:p w:rsidR="00D13FA7" w:rsidRDefault="00D13FA7" w:rsidP="00D13F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УЧЕБНЫЙ ПЛАН</w:t>
      </w:r>
    </w:p>
    <w:p w:rsidR="00D13FA7" w:rsidRDefault="00D13FA7" w:rsidP="00D13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D13FA7" w:rsidRDefault="00D13FA7" w:rsidP="00D13FA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 области музыкального искусства «Фортепиано» 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D13FA7" w:rsidRPr="003C4975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C4975">
        <w:rPr>
          <w:rFonts w:ascii="Times New Roman" w:hAnsi="Times New Roman"/>
          <w:sz w:val="24"/>
          <w:szCs w:val="24"/>
          <w:lang w:eastAsia="ru-RU"/>
        </w:rPr>
        <w:t xml:space="preserve">Утверждаю </w:t>
      </w:r>
    </w:p>
    <w:p w:rsidR="00D13FA7" w:rsidRPr="003C4975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C4975">
        <w:rPr>
          <w:rFonts w:ascii="Times New Roman" w:hAnsi="Times New Roman"/>
          <w:sz w:val="24"/>
          <w:szCs w:val="24"/>
          <w:lang w:eastAsia="ru-RU"/>
        </w:rPr>
        <w:t>Исполняющий</w:t>
      </w:r>
      <w:proofErr w:type="gramEnd"/>
      <w:r w:rsidRPr="003C4975">
        <w:rPr>
          <w:rFonts w:ascii="Times New Roman" w:hAnsi="Times New Roman"/>
          <w:sz w:val="24"/>
          <w:szCs w:val="24"/>
          <w:lang w:eastAsia="ru-RU"/>
        </w:rPr>
        <w:t xml:space="preserve"> обязанности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C4975">
        <w:rPr>
          <w:rFonts w:ascii="Times New Roman" w:hAnsi="Times New Roman"/>
          <w:sz w:val="24"/>
          <w:szCs w:val="24"/>
          <w:lang w:eastAsia="ru-RU"/>
        </w:rPr>
        <w:t xml:space="preserve">директора МБУ ДО «ДМШ № 13» </w:t>
      </w:r>
    </w:p>
    <w:p w:rsidR="00D13FA7" w:rsidRPr="003C4975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C4975">
        <w:rPr>
          <w:rFonts w:ascii="Times New Roman" w:hAnsi="Times New Roman"/>
          <w:sz w:val="24"/>
          <w:szCs w:val="24"/>
          <w:lang w:eastAsia="ru-RU"/>
        </w:rPr>
        <w:t>_________________ С.Ф. Крылова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  <w:r w:rsidRPr="003C4975">
        <w:rPr>
          <w:rFonts w:ascii="Times New Roman" w:hAnsi="Times New Roman"/>
          <w:sz w:val="24"/>
          <w:szCs w:val="24"/>
          <w:lang w:eastAsia="ru-RU"/>
        </w:rPr>
        <w:t>29 августа 2022  года</w:t>
      </w:r>
    </w:p>
    <w:p w:rsidR="00D13FA7" w:rsidRDefault="00D13FA7" w:rsidP="00D13FA7">
      <w:pPr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655"/>
      </w:tblGrid>
      <w:tr w:rsidR="00D13FA7" w:rsidTr="004D4D8B">
        <w:trPr>
          <w:cantSplit/>
          <w:trHeight w:val="2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занятия</w:t>
            </w: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 учебным полугодиям)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Распределение по учебным полугодиям</w:t>
            </w:r>
          </w:p>
        </w:tc>
      </w:tr>
      <w:tr w:rsidR="00D13FA7" w:rsidTr="004D4D8B">
        <w:trPr>
          <w:cantSplit/>
          <w:trHeight w:val="1753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13FA7" w:rsidRDefault="00D13FA7" w:rsidP="004D4D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Зачеты, контрольные </w:t>
            </w:r>
          </w:p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Экзамены по полугодиям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2-е полугодие</w:t>
            </w:r>
          </w:p>
        </w:tc>
      </w:tr>
      <w:tr w:rsidR="00D13FA7" w:rsidTr="004D4D8B">
        <w:trPr>
          <w:cantSplit/>
          <w:trHeight w:val="3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</w:tr>
      <w:tr w:rsidR="00D13FA7" w:rsidTr="004D4D8B">
        <w:trPr>
          <w:cantSplit/>
          <w:trHeight w:val="27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Структура и объем ОП</w:t>
            </w:r>
          </w:p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686-752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363-379,5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323-372,5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D13FA7" w:rsidRDefault="00D13FA7" w:rsidP="004D4D8B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Количество недель аудиторных занятий</w:t>
            </w:r>
          </w:p>
        </w:tc>
      </w:tr>
      <w:tr w:rsidR="00D13FA7" w:rsidTr="004D4D8B">
        <w:trPr>
          <w:cantSplit/>
          <w:trHeight w:val="275"/>
        </w:trPr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</w:tr>
      <w:tr w:rsidR="00D13FA7" w:rsidTr="004D4D8B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Недельная нагрузка в часах</w:t>
            </w: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eastAsia="ru-RU"/>
              </w:rPr>
            </w:pPr>
          </w:p>
        </w:tc>
      </w:tr>
      <w:tr w:rsidR="00D13FA7" w:rsidTr="004D4D8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Специальность и чтение с листа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color w:val="8DB3E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D13FA7" w:rsidTr="004D4D8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ПО.01.УП.02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Ансамбль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sz w:val="24"/>
                <w:szCs w:val="24"/>
                <w:lang w:eastAsia="ru-RU"/>
              </w:rPr>
              <w:t>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D13FA7" w:rsidTr="004D4D8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3FA7" w:rsidTr="004D4D8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3FA7" w:rsidTr="004D4D8B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ПО.02.УП.03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Элементарная теория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13FA7" w:rsidTr="004D4D8B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Аудиторная нагрузка по двум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D13FA7" w:rsidTr="004D4D8B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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  <w:lang w:eastAsia="ru-RU"/>
              </w:rPr>
              <w:t>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19,5</w:t>
            </w:r>
          </w:p>
        </w:tc>
      </w:tr>
      <w:tr w:rsidR="00D13FA7" w:rsidTr="004D4D8B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уроков, зачетов, экзаменов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В.01.УП.01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Хоровой класс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3FA7" w:rsidTr="004D4D8B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аудиторная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 xml:space="preserve"> 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D13FA7" w:rsidTr="004D4D8B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379,5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346,5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21</w:t>
            </w:r>
          </w:p>
        </w:tc>
      </w:tr>
      <w:tr w:rsidR="00D13FA7" w:rsidTr="004D4D8B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Pr="00C714CC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Годовая нагрузка в часах </w:t>
            </w: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Музыкальная литература (зарубежная, отечественная)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К.03.05.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7" w:rsidRDefault="00D13FA7" w:rsidP="004D4D8B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Сводный хор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D13FA7" w:rsidTr="004D4D8B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Аттестация</w:t>
            </w:r>
          </w:p>
        </w:tc>
        <w:tc>
          <w:tcPr>
            <w:tcW w:w="976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Годовой объем в неделях</w:t>
            </w:r>
          </w:p>
        </w:tc>
      </w:tr>
      <w:tr w:rsidR="00D13FA7" w:rsidTr="004D4D8B">
        <w:trPr>
          <w:trHeight w:val="3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13FA7" w:rsidTr="004D4D8B">
        <w:trPr>
          <w:trHeight w:val="34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52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13FA7" w:rsidTr="004D4D8B">
        <w:trPr>
          <w:trHeight w:val="354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D13FA7" w:rsidRDefault="00D13FA7" w:rsidP="004D4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13FA7" w:rsidRDefault="00D13FA7" w:rsidP="00D13FA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3FA7" w:rsidRPr="00D96437" w:rsidRDefault="00D13FA7" w:rsidP="00D13F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В общей трудоемкости ОП на выбор ДШИ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ДШИ самостоятельно. </w:t>
      </w:r>
      <w:proofErr w:type="gramStart"/>
      <w:r>
        <w:rPr>
          <w:rFonts w:ascii="Times New Roman" w:hAnsi="Times New Roman"/>
          <w:bCs/>
          <w:lang w:eastAsia="ru-RU"/>
        </w:rPr>
        <w:t xml:space="preserve">Объем времени вариативной части, предусматриваемый ДШИ на занятия </w:t>
      </w:r>
      <w:r>
        <w:rPr>
          <w:rFonts w:ascii="Times New Roman" w:hAnsi="Times New Roman"/>
          <w:bCs/>
          <w:lang w:eastAsia="ru-RU"/>
        </w:rPr>
        <w:lastRenderedPageBreak/>
        <w:t>обучающимся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  <w:proofErr w:type="gramEnd"/>
      <w:r>
        <w:rPr>
          <w:rFonts w:ascii="Times New Roman" w:hAnsi="Times New Roman"/>
          <w:bCs/>
          <w:lang w:eastAsia="ru-RU"/>
        </w:rPr>
        <w:t xml:space="preserve">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ДШИ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D13FA7" w:rsidRPr="00D96437" w:rsidRDefault="00D13FA7" w:rsidP="00D13F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К реализации учебного предмета «Ансамбль» могут привлекаться как обучающиеся по ОП «Струнные инструменты», «Духовые и ударные инструменты», так и педагогические работники ДМШ (преподаватели, концертмейстеры). В случае привлечения к реализации данного учебного предмета работников ДМШ по учебному предмету планируются концертмейстерские часы в объеме до 100% аудиторного времени. </w:t>
      </w:r>
    </w:p>
    <w:p w:rsidR="00D13FA7" w:rsidRPr="00D96437" w:rsidRDefault="00D13FA7" w:rsidP="00D13F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При реализации учебного предмета вариативной части «Хоровой класс» предусматриваются консультации по «Сводному хору». В данном случае для концертмейстера предусматриваются часы в объеме не менее 80% от аудиторного времени. </w:t>
      </w:r>
      <w:proofErr w:type="gramStart"/>
      <w:r>
        <w:rPr>
          <w:rFonts w:ascii="Times New Roman" w:hAnsi="Times New Roman"/>
          <w:lang w:eastAsia="ru-RU"/>
        </w:rPr>
        <w:t>При реализации учебного предмета «Хоровой класс» в учебных группах одновременно могут заниматься обучающиеся по другим ОП в области музыкального искусства.</w:t>
      </w:r>
      <w:proofErr w:type="gramEnd"/>
      <w:r>
        <w:rPr>
          <w:rFonts w:ascii="Times New Roman" w:hAnsi="Times New Roman"/>
          <w:lang w:eastAsia="ru-RU"/>
        </w:rPr>
        <w:t xml:space="preserve"> В случае отсутствия реализации данного учебного предмета, часы, предусмотренные на консультации «Сводный хор», используются по усмотрению ДМШ на консультации по другим учебным предметам.</w:t>
      </w:r>
    </w:p>
    <w:p w:rsidR="00D13FA7" w:rsidRPr="00D96437" w:rsidRDefault="00D13FA7" w:rsidP="00D13F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Объем максимальной нагрузки обучающихся не должен превышать 26 часов в неделю, аудиторной – 14 часов в неделю. </w:t>
      </w:r>
    </w:p>
    <w:p w:rsidR="00D13FA7" w:rsidRPr="00D96437" w:rsidRDefault="00D13FA7" w:rsidP="00D13F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vertAlign w:val="superscript"/>
          <w:lang w:eastAsia="ru-RU"/>
        </w:rPr>
      </w:pPr>
      <w:r>
        <w:rPr>
          <w:rFonts w:ascii="Times New Roman" w:hAnsi="Times New Roman"/>
          <w:lang w:eastAsia="ru-RU"/>
        </w:rPr>
        <w:t xml:space="preserve">Консультации проводятся с целью подготовки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к контрольным урокам, зачетам, экзаменам, творческим конкурсам и другим мероприятиям. Консультации могут проводиться рассредоточено или в счет резерва учебного времени. По учебным предметам, выносимым на итоговую аттестацию, проводятся консультации  в счет резерва учебного времени.  </w:t>
      </w:r>
    </w:p>
    <w:p w:rsidR="00D13FA7" w:rsidRDefault="00D13FA7" w:rsidP="00D13FA7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</w:p>
    <w:p w:rsidR="00D13FA7" w:rsidRDefault="00D13FA7" w:rsidP="00D13FA7">
      <w:pPr>
        <w:spacing w:after="0" w:line="240" w:lineRule="auto"/>
        <w:jc w:val="center"/>
        <w:rPr>
          <w:rFonts w:ascii="Times New Roman" w:hAnsi="Times New Roman"/>
          <w:b/>
          <w:i/>
          <w:lang w:eastAsia="ru-RU"/>
        </w:rPr>
      </w:pPr>
      <w:r>
        <w:rPr>
          <w:rFonts w:ascii="Times New Roman" w:hAnsi="Times New Roman"/>
          <w:b/>
          <w:i/>
          <w:lang w:eastAsia="ru-RU"/>
        </w:rPr>
        <w:t>Примечание к учебному плану</w:t>
      </w:r>
    </w:p>
    <w:p w:rsidR="00D13FA7" w:rsidRDefault="00D13FA7" w:rsidP="00D13FA7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1.Объем самостоятельной работы в неделю обучающихся по учебным предметам обязательной и вариативной частей в среднем за весь период   обучения определяется с учетом минимальных затрат на подготовку домашнего задания, параллельного освоения детьми программы основного общего образования.</w:t>
      </w:r>
      <w:proofErr w:type="gramEnd"/>
      <w:r>
        <w:rPr>
          <w:rFonts w:ascii="Times New Roman" w:hAnsi="Times New Roman"/>
          <w:lang w:eastAsia="ru-RU"/>
        </w:rPr>
        <w:t xml:space="preserve"> По предметам обязательной части объем самостоятельной нагрузки </w:t>
      </w:r>
      <w:proofErr w:type="gramStart"/>
      <w:r>
        <w:rPr>
          <w:rFonts w:ascii="Times New Roman" w:hAnsi="Times New Roman"/>
          <w:lang w:eastAsia="ru-RU"/>
        </w:rPr>
        <w:t>обучающихся</w:t>
      </w:r>
      <w:proofErr w:type="gramEnd"/>
      <w:r>
        <w:rPr>
          <w:rFonts w:ascii="Times New Roman" w:hAnsi="Times New Roman"/>
          <w:lang w:eastAsia="ru-RU"/>
        </w:rPr>
        <w:t xml:space="preserve"> планируется следующим образом:</w:t>
      </w:r>
    </w:p>
    <w:p w:rsidR="00D13FA7" w:rsidRDefault="00D13FA7" w:rsidP="00D13FA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«Специальность и чтение с листа» – по 6 часов в неделю;</w:t>
      </w:r>
    </w:p>
    <w:p w:rsidR="00D13FA7" w:rsidRDefault="00D13FA7" w:rsidP="00D13FA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«Ансамбль» – 1,5 часа в неделю;</w:t>
      </w:r>
    </w:p>
    <w:p w:rsidR="00D13FA7" w:rsidRDefault="00D13FA7" w:rsidP="00D13FA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«Сольфеджио» – 1 час в неделю;</w:t>
      </w:r>
    </w:p>
    <w:p w:rsidR="00D13FA7" w:rsidRDefault="00D13FA7" w:rsidP="00D13FA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«Музыкальная литература (зарубежная, отечественная)» – 1 час в неделю, «Элементарная теория музыки» – 1 час в неделю.</w:t>
      </w:r>
    </w:p>
    <w:p w:rsidR="00A24D0B" w:rsidRDefault="00A24D0B" w:rsidP="00D13FA7">
      <w:bookmarkStart w:id="0" w:name="_GoBack"/>
      <w:bookmarkEnd w:id="0"/>
    </w:p>
    <w:sectPr w:rsidR="00A24D0B" w:rsidSect="00D13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5CC3FFF"/>
    <w:multiLevelType w:val="hybridMultilevel"/>
    <w:tmpl w:val="94CA706C"/>
    <w:lvl w:ilvl="0" w:tplc="CBFAD41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E8"/>
    <w:rsid w:val="00A24D0B"/>
    <w:rsid w:val="00D13FA7"/>
    <w:rsid w:val="00D7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2156</Words>
  <Characters>12290</Characters>
  <Application>Microsoft Office Word</Application>
  <DocSecurity>0</DocSecurity>
  <Lines>102</Lines>
  <Paragraphs>28</Paragraphs>
  <ScaleCrop>false</ScaleCrop>
  <Company/>
  <LinksUpToDate>false</LinksUpToDate>
  <CharactersWithSpaces>14418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Ksenia</cp:lastModifiedBy>
  <cp:revision>2</cp:revision>
  <dcterms:created xsi:type="dcterms:W3CDTF">2022-09-09T09:56:00Z</dcterms:created>
  <dcterms:modified xsi:type="dcterms:W3CDTF">2022-09-09T09:57:00Z</dcterms:modified>
</cp:coreProperties>
</file>